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sz w:val="32"/>
          <w:szCs w:val="32"/>
        </w:rPr>
      </w:pPr>
    </w:p>
    <w:p>
      <w:pPr>
        <w:adjustRightInd w:val="0"/>
        <w:snapToGrid w:val="0"/>
        <w:spacing w:line="360" w:lineRule="auto"/>
        <w:rPr>
          <w:rFonts w:ascii="宋体" w:hAnsi="宋体" w:cs="宋体"/>
          <w:b/>
          <w:color w:val="000000" w:themeColor="text1"/>
          <w:sz w:val="72"/>
          <w14:textFill>
            <w14:solidFill>
              <w14:schemeClr w14:val="tx1"/>
            </w14:solidFill>
          </w14:textFill>
        </w:rPr>
      </w:pPr>
    </w:p>
    <w:p>
      <w:pPr>
        <w:adjustRightInd w:val="0"/>
        <w:snapToGrid w:val="0"/>
        <w:spacing w:line="360" w:lineRule="auto"/>
        <w:rPr>
          <w:rFonts w:ascii="宋体" w:hAnsi="宋体" w:cs="宋体"/>
          <w:b/>
          <w:color w:val="000000" w:themeColor="text1"/>
          <w:sz w:val="72"/>
          <w14:textFill>
            <w14:solidFill>
              <w14:schemeClr w14:val="tx1"/>
            </w14:solidFill>
          </w14:textFill>
        </w:rPr>
      </w:pPr>
    </w:p>
    <w:p>
      <w:pPr>
        <w:adjustRightInd w:val="0"/>
        <w:snapToGrid w:val="0"/>
        <w:spacing w:line="360" w:lineRule="auto"/>
        <w:jc w:val="center"/>
        <w:rPr>
          <w:rFonts w:ascii="宋体" w:hAnsi="宋体" w:cs="宋体"/>
          <w:b/>
          <w:color w:val="000000" w:themeColor="text1"/>
          <w:sz w:val="84"/>
          <w14:textFill>
            <w14:solidFill>
              <w14:schemeClr w14:val="tx1"/>
            </w14:solidFill>
          </w14:textFill>
        </w:rPr>
      </w:pPr>
      <w:r>
        <w:rPr>
          <w:rFonts w:hint="eastAsia" w:ascii="宋体" w:hAnsi="宋体" w:eastAsia="宋体" w:cs="宋体"/>
          <w:b/>
          <w:color w:val="000000" w:themeColor="text1"/>
          <w:spacing w:val="40"/>
          <w:sz w:val="84"/>
          <w14:textFill>
            <w14:solidFill>
              <w14:schemeClr w14:val="tx1"/>
            </w14:solidFill>
          </w14:textFill>
        </w:rPr>
        <w:t>招标文件</w:t>
      </w:r>
    </w:p>
    <w:p>
      <w:pPr>
        <w:adjustRightInd w:val="0"/>
        <w:snapToGrid w:val="0"/>
        <w:spacing w:line="360" w:lineRule="auto"/>
        <w:rPr>
          <w:rFonts w:ascii="宋体" w:hAnsi="宋体" w:cs="宋体"/>
          <w:b/>
          <w:color w:val="000000" w:themeColor="text1"/>
          <w:sz w:val="52"/>
          <w:szCs w:val="52"/>
          <w14:textFill>
            <w14:solidFill>
              <w14:schemeClr w14:val="tx1"/>
            </w14:solidFill>
          </w14:textFill>
        </w:rPr>
      </w:pPr>
    </w:p>
    <w:p>
      <w:pPr>
        <w:adjustRightInd w:val="0"/>
        <w:snapToGrid w:val="0"/>
        <w:spacing w:line="360" w:lineRule="auto"/>
        <w:ind w:firstLine="578" w:firstLineChars="200"/>
        <w:rPr>
          <w:rFonts w:ascii="宋体" w:hAnsi="宋体" w:cs="宋体"/>
          <w:b/>
          <w:color w:val="000000" w:themeColor="text1"/>
          <w:sz w:val="30"/>
          <w14:textFill>
            <w14:solidFill>
              <w14:schemeClr w14:val="tx1"/>
            </w14:solidFill>
          </w14:textFill>
        </w:rPr>
      </w:pPr>
      <w:r>
        <w:rPr>
          <w:rFonts w:hint="eastAsia" w:ascii="宋体" w:hAnsi="宋体" w:eastAsia="宋体" w:cs="宋体"/>
          <w:b/>
          <w:color w:val="000000" w:themeColor="text1"/>
          <w:spacing w:val="-6"/>
          <w:sz w:val="30"/>
          <w:szCs w:val="30"/>
          <w14:textFill>
            <w14:solidFill>
              <w14:schemeClr w14:val="tx1"/>
            </w14:solidFill>
          </w14:textFill>
        </w:rPr>
        <w:t>项目名称：</w:t>
      </w:r>
      <w:r>
        <w:rPr>
          <w:rFonts w:hint="eastAsia" w:ascii="宋体" w:hAnsi="宋体" w:cs="宋体"/>
          <w:b/>
          <w:color w:val="000000" w:themeColor="text1"/>
          <w:sz w:val="30"/>
          <w14:textFill>
            <w14:solidFill>
              <w14:schemeClr w14:val="tx1"/>
            </w14:solidFill>
          </w14:textFill>
        </w:rPr>
        <w:t>生物物理研究所动物实验中心二区升级改造项目</w:t>
      </w:r>
    </w:p>
    <w:p>
      <w:pPr>
        <w:adjustRightInd w:val="0"/>
        <w:snapToGrid w:val="0"/>
        <w:spacing w:line="360" w:lineRule="auto"/>
        <w:jc w:val="center"/>
        <w:rPr>
          <w:rFonts w:ascii="宋体" w:hAnsi="宋体" w:cs="宋体"/>
          <w:b/>
          <w:color w:val="000000" w:themeColor="text1"/>
          <w:sz w:val="52"/>
          <w14:textFill>
            <w14:solidFill>
              <w14:schemeClr w14:val="tx1"/>
            </w14:solidFill>
          </w14:textFill>
        </w:rPr>
      </w:pPr>
    </w:p>
    <w:p>
      <w:pPr>
        <w:adjustRightInd w:val="0"/>
        <w:snapToGrid w:val="0"/>
        <w:spacing w:line="360" w:lineRule="auto"/>
        <w:rPr>
          <w:rFonts w:ascii="宋体" w:hAnsi="宋体" w:cs="宋体"/>
          <w:b/>
          <w:color w:val="000000" w:themeColor="text1"/>
          <w:sz w:val="52"/>
          <w14:textFill>
            <w14:solidFill>
              <w14:schemeClr w14:val="tx1"/>
            </w14:solidFill>
          </w14:textFill>
        </w:rPr>
      </w:pPr>
    </w:p>
    <w:p>
      <w:pPr>
        <w:adjustRightInd w:val="0"/>
        <w:snapToGrid w:val="0"/>
        <w:spacing w:line="360" w:lineRule="auto"/>
        <w:jc w:val="center"/>
        <w:rPr>
          <w:rFonts w:ascii="宋体" w:hAnsi="宋体" w:cs="宋体"/>
          <w:b/>
          <w:color w:val="000000" w:themeColor="text1"/>
          <w:sz w:val="52"/>
          <w14:textFill>
            <w14:solidFill>
              <w14:schemeClr w14:val="tx1"/>
            </w14:solidFill>
          </w14:textFill>
        </w:rPr>
      </w:pPr>
    </w:p>
    <w:p>
      <w:pPr>
        <w:adjustRightInd w:val="0"/>
        <w:snapToGrid w:val="0"/>
        <w:spacing w:line="360" w:lineRule="auto"/>
        <w:jc w:val="center"/>
        <w:rPr>
          <w:rFonts w:ascii="宋体" w:hAnsi="宋体" w:cs="宋体"/>
          <w:b/>
          <w:color w:val="000000" w:themeColor="text1"/>
          <w:sz w:val="52"/>
          <w14:textFill>
            <w14:solidFill>
              <w14:schemeClr w14:val="tx1"/>
            </w14:solidFill>
          </w14:textFill>
        </w:rPr>
      </w:pPr>
    </w:p>
    <w:p>
      <w:pPr>
        <w:tabs>
          <w:tab w:val="left" w:pos="2057"/>
          <w:tab w:val="center" w:pos="4337"/>
        </w:tabs>
        <w:adjustRightInd w:val="0"/>
        <w:snapToGrid w:val="0"/>
        <w:spacing w:line="360" w:lineRule="auto"/>
        <w:jc w:val="left"/>
        <w:rPr>
          <w:rFonts w:ascii="宋体" w:hAnsi="宋体" w:cs="宋体"/>
          <w:b/>
          <w:color w:val="FF0000"/>
          <w:sz w:val="30"/>
        </w:rPr>
        <w:sectPr>
          <w:headerReference r:id="rId4" w:type="first"/>
          <w:footerReference r:id="rId7" w:type="first"/>
          <w:headerReference r:id="rId3" w:type="default"/>
          <w:footerReference r:id="rId5" w:type="default"/>
          <w:footerReference r:id="rId6" w:type="even"/>
          <w:pgSz w:w="11907" w:h="16840"/>
          <w:pgMar w:top="1758" w:right="1701" w:bottom="1493" w:left="1531" w:header="720" w:footer="851" w:gutter="0"/>
          <w:pgNumType w:start="0"/>
          <w:cols w:space="720" w:num="1"/>
          <w:docGrid w:linePitch="23" w:charSpace="0"/>
        </w:sectPr>
      </w:pPr>
      <w:r>
        <w:rPr>
          <w:rFonts w:hint="eastAsia" w:ascii="宋体" w:hAnsi="宋体" w:eastAsia="宋体" w:cs="宋体"/>
          <w:b/>
          <w:color w:val="000000" w:themeColor="text1"/>
          <w:sz w:val="30"/>
          <w14:textFill>
            <w14:solidFill>
              <w14:schemeClr w14:val="tx1"/>
            </w14:solidFill>
          </w14:textFill>
        </w:rPr>
        <w:tab/>
      </w:r>
      <w:r>
        <w:rPr>
          <w:rFonts w:hint="eastAsia" w:ascii="宋体" w:hAnsi="宋体" w:eastAsia="宋体" w:cs="宋体"/>
          <w:b/>
          <w:color w:val="000000" w:themeColor="text1"/>
          <w:sz w:val="30"/>
          <w14:textFill>
            <w14:solidFill>
              <w14:schemeClr w14:val="tx1"/>
            </w14:solidFill>
          </w14:textFill>
        </w:rPr>
        <w:tab/>
      </w:r>
      <w:r>
        <w:rPr>
          <w:rFonts w:hint="eastAsia" w:ascii="宋体" w:hAnsi="宋体" w:cs="宋体"/>
          <w:b/>
          <w:color w:val="000000" w:themeColor="text1"/>
          <w:spacing w:val="-6"/>
          <w:sz w:val="30"/>
          <w:szCs w:val="30"/>
          <w14:textFill>
            <w14:solidFill>
              <w14:schemeClr w14:val="tx1"/>
            </w14:solidFill>
          </w14:textFill>
        </w:rPr>
        <w:t>中国科学院生物物理研究所</w:t>
      </w:r>
    </w:p>
    <w:p>
      <w:pPr>
        <w:pStyle w:val="4"/>
        <w:rPr>
          <w:rStyle w:val="17"/>
          <w:b/>
          <w:szCs w:val="22"/>
        </w:rPr>
      </w:pPr>
      <w:bookmarkStart w:id="0" w:name="_Toc40037950"/>
      <w:r>
        <w:rPr>
          <w:rStyle w:val="17"/>
          <w:rFonts w:hint="eastAsia"/>
          <w:b/>
          <w:szCs w:val="22"/>
        </w:rPr>
        <w:t>一、工程概况</w:t>
      </w:r>
      <w:bookmarkEnd w:id="0"/>
    </w:p>
    <w:p>
      <w:pPr>
        <w:spacing w:line="360" w:lineRule="auto"/>
        <w:rPr>
          <w:sz w:val="24"/>
        </w:rPr>
      </w:pPr>
      <w:r>
        <w:rPr>
          <w:rFonts w:hint="eastAsia"/>
          <w:sz w:val="24"/>
        </w:rPr>
        <w:t>　　一、总则</w:t>
      </w:r>
    </w:p>
    <w:p>
      <w:pPr>
        <w:spacing w:line="360" w:lineRule="auto"/>
        <w:rPr>
          <w:sz w:val="24"/>
        </w:rPr>
      </w:pPr>
      <w:r>
        <w:rPr>
          <w:rFonts w:hint="eastAsia"/>
          <w:sz w:val="24"/>
        </w:rPr>
        <w:t>　　（一）工程概况：北京市朝阳区大屯路15号，中国科学院生物物理研究所动物实验中心二区升级改造项目。</w:t>
      </w:r>
    </w:p>
    <w:p>
      <w:pPr>
        <w:spacing w:line="360" w:lineRule="auto"/>
        <w:ind w:firstLine="600" w:firstLineChars="250"/>
        <w:rPr>
          <w:sz w:val="24"/>
          <w:szCs w:val="32"/>
        </w:rPr>
      </w:pPr>
      <w:r>
        <w:rPr>
          <w:rFonts w:hint="eastAsia"/>
          <w:sz w:val="24"/>
        </w:rPr>
        <w:t>1.工程招标范围：包括通风系统管道、阀门、阀门执行机构和二区自动化控制系统（含软件编程、布管布线）升级改造</w:t>
      </w:r>
      <w:r>
        <w:rPr>
          <w:rFonts w:hint="eastAsia"/>
          <w:sz w:val="24"/>
          <w:szCs w:val="32"/>
        </w:rPr>
        <w:t>。</w:t>
      </w:r>
    </w:p>
    <w:p>
      <w:pPr>
        <w:spacing w:line="360" w:lineRule="auto"/>
        <w:ind w:firstLine="600" w:firstLineChars="250"/>
        <w:rPr>
          <w:sz w:val="24"/>
        </w:rPr>
      </w:pPr>
      <w:r>
        <w:rPr>
          <w:rFonts w:hint="eastAsia"/>
          <w:sz w:val="24"/>
        </w:rPr>
        <w:t>2.现场施工内容</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2.1通风：更换现有夹层内通风管道上的风阀、风阀执行器、局部与阀连接的通风管道改换等；其中</w:t>
      </w:r>
      <w:r>
        <w:rPr>
          <w:rFonts w:hint="eastAsia"/>
          <w:sz w:val="24"/>
        </w:rPr>
        <w:t>送风量阀门：拆除原有送风管道阀门，新装定风量调节阀门；排风量阀门：拆除原有排风管道阀门，新装电动调节阀门；</w:t>
      </w:r>
    </w:p>
    <w:p>
      <w:pPr>
        <w:spacing w:line="360" w:lineRule="auto"/>
        <w:ind w:firstLine="480" w:firstLineChars="200"/>
        <w:rPr>
          <w:sz w:val="24"/>
        </w:rPr>
      </w:pPr>
      <w:r>
        <w:rPr>
          <w:rFonts w:hint="eastAsia"/>
          <w:sz w:val="24"/>
        </w:rPr>
        <w:t>2.2自动化控制：传感模块、布管、布线和软件编程等；其中压力：更换压力传感器并安装直读式压力表，实验室压力需在中控室监控软件显示，实验室压力应为自动调节，通过调节排风电动阀来保证实验室压力稳定，压力梯度须符合技术相关要求；温湿度：更换温湿度传感器，实验室温湿度需在中控室监控软件显示，实验室温湿度应为自动调节，通过调节空调机组相关阀门来保证实验室温湿度稳定，温湿度范围须符合技术要求；</w:t>
      </w:r>
    </w:p>
    <w:p>
      <w:pPr>
        <w:spacing w:line="360" w:lineRule="auto"/>
        <w:ind w:firstLine="480" w:firstLineChars="200"/>
        <w:rPr>
          <w:rFonts w:hint="eastAsia"/>
          <w:sz w:val="24"/>
        </w:rPr>
      </w:pPr>
      <w:r>
        <w:rPr>
          <w:rFonts w:hint="eastAsia"/>
          <w:sz w:val="24"/>
        </w:rPr>
        <w:t>2.3</w:t>
      </w:r>
      <w:r>
        <w:rPr>
          <w:rFonts w:hint="eastAsia"/>
          <w:sz w:val="24"/>
          <w:lang w:val="en-US" w:eastAsia="zh-CN"/>
        </w:rPr>
        <w:t>装饰装修部分</w:t>
      </w:r>
      <w:r>
        <w:rPr>
          <w:rFonts w:hint="eastAsia"/>
          <w:sz w:val="24"/>
        </w:rPr>
        <w:t>：局部地面、踢脚更新、结构密封</w:t>
      </w:r>
      <w:r>
        <w:rPr>
          <w:rFonts w:hint="eastAsia"/>
          <w:sz w:val="24"/>
          <w:lang w:eastAsia="zh-CN"/>
        </w:rPr>
        <w:t>、密闭门及安全门更新、清洗水池更新、</w:t>
      </w:r>
      <w:r>
        <w:rPr>
          <w:rFonts w:hint="eastAsia"/>
          <w:sz w:val="24"/>
          <w:lang w:val="en-US" w:eastAsia="zh-CN"/>
        </w:rPr>
        <w:t>65L灭菌器供电改造</w:t>
      </w:r>
      <w:r>
        <w:rPr>
          <w:rFonts w:hint="eastAsia"/>
          <w:sz w:val="24"/>
        </w:rPr>
        <w:t>等；</w:t>
      </w:r>
    </w:p>
    <w:p>
      <w:pPr>
        <w:spacing w:line="360" w:lineRule="auto"/>
        <w:ind w:firstLine="480" w:firstLineChars="200"/>
        <w:rPr>
          <w:rFonts w:hint="default"/>
          <w:sz w:val="24"/>
          <w:highlight w:val="none"/>
          <w:lang w:val="en-US" w:eastAsia="zh-CN"/>
        </w:rPr>
      </w:pPr>
      <w:r>
        <w:rPr>
          <w:rFonts w:hint="eastAsia"/>
          <w:sz w:val="24"/>
          <w:lang w:val="en-US" w:eastAsia="zh-CN"/>
        </w:rPr>
        <w:t>2.4 给排水部分：两个不锈钢水池更换，灭菌器蒸汽排泄管道及清洗池污水排水管</w:t>
      </w:r>
      <w:r>
        <w:rPr>
          <w:rFonts w:hint="eastAsia"/>
          <w:sz w:val="24"/>
          <w:highlight w:val="none"/>
          <w:lang w:val="en-US" w:eastAsia="zh-CN"/>
        </w:rPr>
        <w:t>道换新；蒸汽排泄管道需满足灭菌后排泄的带压高温蒸汽可正常排泄，管道无渗漏，材质宜为耐高温高压无缝钢管（或厚壁不锈钢管）确保其使用寿命长。清洗水池排水管：确保水流畅通，使用寿命长。</w:t>
      </w:r>
    </w:p>
    <w:p>
      <w:pPr>
        <w:spacing w:line="360" w:lineRule="auto"/>
        <w:ind w:firstLine="480" w:firstLineChars="200"/>
        <w:rPr>
          <w:rFonts w:hint="eastAsia"/>
          <w:sz w:val="24"/>
          <w:highlight w:val="none"/>
          <w:lang w:val="en-US" w:eastAsia="zh-CN"/>
        </w:rPr>
      </w:pPr>
      <w:r>
        <w:rPr>
          <w:rFonts w:hint="eastAsia"/>
          <w:sz w:val="24"/>
          <w:highlight w:val="none"/>
          <w:lang w:val="en-US" w:eastAsia="zh-CN"/>
        </w:rPr>
        <w:t>2.5调试：系统调试。</w:t>
      </w:r>
    </w:p>
    <w:p>
      <w:pPr>
        <w:spacing w:line="360" w:lineRule="auto"/>
        <w:ind w:firstLine="480" w:firstLineChars="200"/>
        <w:rPr>
          <w:rFonts w:hint="eastAsia"/>
          <w:sz w:val="24"/>
          <w:highlight w:val="none"/>
        </w:rPr>
      </w:pPr>
      <w:r>
        <w:rPr>
          <w:rFonts w:hint="eastAsia"/>
          <w:sz w:val="24"/>
          <w:highlight w:val="none"/>
        </w:rPr>
        <w:t>3.付款、质保要求：</w:t>
      </w:r>
    </w:p>
    <w:p>
      <w:pPr>
        <w:spacing w:line="360" w:lineRule="auto"/>
        <w:ind w:firstLine="480" w:firstLineChars="200"/>
        <w:rPr>
          <w:sz w:val="24"/>
          <w:highlight w:val="none"/>
        </w:rPr>
      </w:pPr>
      <w:r>
        <w:rPr>
          <w:rFonts w:hint="eastAsia"/>
          <w:sz w:val="24"/>
          <w:highlight w:val="none"/>
        </w:rPr>
        <w:t>3.1合同签订后付款</w:t>
      </w:r>
      <w:r>
        <w:rPr>
          <w:rFonts w:hint="eastAsia"/>
          <w:sz w:val="24"/>
          <w:highlight w:val="none"/>
          <w:lang w:val="en-US" w:eastAsia="zh-CN"/>
        </w:rPr>
        <w:t>3</w:t>
      </w:r>
      <w:r>
        <w:rPr>
          <w:rFonts w:hint="eastAsia"/>
          <w:sz w:val="24"/>
          <w:highlight w:val="none"/>
        </w:rPr>
        <w:t>0%，验收合格支付</w:t>
      </w:r>
      <w:r>
        <w:rPr>
          <w:rFonts w:hint="eastAsia"/>
          <w:sz w:val="24"/>
          <w:highlight w:val="none"/>
          <w:lang w:val="en-US" w:eastAsia="zh-CN"/>
        </w:rPr>
        <w:t>7</w:t>
      </w:r>
      <w:r>
        <w:rPr>
          <w:rFonts w:hint="eastAsia"/>
          <w:sz w:val="24"/>
          <w:highlight w:val="none"/>
        </w:rPr>
        <w:t>0%，第三方环境监测，检测费用甲方支付；</w:t>
      </w:r>
    </w:p>
    <w:p>
      <w:pPr>
        <w:spacing w:line="360" w:lineRule="auto"/>
        <w:ind w:firstLine="480" w:firstLineChars="200"/>
        <w:jc w:val="left"/>
        <w:rPr>
          <w:sz w:val="24"/>
          <w:highlight w:val="none"/>
        </w:rPr>
      </w:pPr>
      <w:r>
        <w:rPr>
          <w:rFonts w:hint="eastAsia"/>
          <w:sz w:val="24"/>
          <w:highlight w:val="none"/>
        </w:rPr>
        <w:t>3.2改造方位内硬件质保2年，提供的软件</w:t>
      </w:r>
      <w:r>
        <w:rPr>
          <w:rFonts w:hint="eastAsia"/>
          <w:sz w:val="24"/>
          <w:highlight w:val="none"/>
          <w:lang w:val="en-US" w:eastAsia="zh-CN"/>
        </w:rPr>
        <w:t>免费</w:t>
      </w:r>
      <w:r>
        <w:rPr>
          <w:rFonts w:hint="eastAsia"/>
          <w:sz w:val="24"/>
          <w:highlight w:val="none"/>
        </w:rPr>
        <w:t>终身维护</w:t>
      </w:r>
      <w:r>
        <w:rPr>
          <w:rFonts w:hint="eastAsia"/>
          <w:sz w:val="24"/>
          <w:highlight w:val="none"/>
          <w:lang w:eastAsia="zh-CN"/>
        </w:rPr>
        <w:t>升级</w:t>
      </w:r>
      <w:r>
        <w:rPr>
          <w:rFonts w:hint="eastAsia"/>
          <w:sz w:val="24"/>
          <w:highlight w:val="none"/>
        </w:rPr>
        <w:t>；</w:t>
      </w:r>
    </w:p>
    <w:p>
      <w:pPr>
        <w:spacing w:line="360" w:lineRule="auto"/>
        <w:ind w:firstLine="480" w:firstLineChars="200"/>
        <w:jc w:val="left"/>
        <w:rPr>
          <w:rFonts w:hint="eastAsia"/>
          <w:sz w:val="24"/>
          <w:highlight w:val="none"/>
        </w:rPr>
      </w:pPr>
      <w:r>
        <w:rPr>
          <w:rFonts w:hint="eastAsia"/>
          <w:sz w:val="24"/>
          <w:highlight w:val="none"/>
        </w:rPr>
        <w:t>3.3竣工后应向招标方提供完整版程序</w:t>
      </w:r>
      <w:r>
        <w:rPr>
          <w:rFonts w:hint="eastAsia"/>
          <w:sz w:val="24"/>
          <w:highlight w:val="none"/>
          <w:lang w:eastAsia="zh-CN"/>
        </w:rPr>
        <w:t>备份及备份程序的密码</w:t>
      </w:r>
      <w:r>
        <w:rPr>
          <w:rFonts w:hint="eastAsia"/>
          <w:sz w:val="24"/>
          <w:highlight w:val="none"/>
        </w:rPr>
        <w:t>。</w:t>
      </w:r>
    </w:p>
    <w:p>
      <w:pPr>
        <w:spacing w:line="360" w:lineRule="auto"/>
        <w:ind w:firstLine="480" w:firstLineChars="200"/>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具体工程细节和工程清单自发标之日起至开标前可联系招标公告联系人进行现场勘查</w:t>
      </w:r>
      <w:r>
        <w:rPr>
          <w:rFonts w:hint="eastAsia" w:ascii="宋体" w:hAnsi="宋体" w:eastAsia="宋体" w:cs="宋体"/>
          <w:color w:val="000000" w:themeColor="text1"/>
          <w:sz w:val="24"/>
          <w:highlight w:val="none"/>
          <w:u w:val="single"/>
          <w:lang w:eastAsia="zh-CN"/>
          <w14:textFill>
            <w14:solidFill>
              <w14:schemeClr w14:val="tx1"/>
            </w14:solidFill>
          </w14:textFill>
        </w:rPr>
        <w:t>。现场勘查时间：</w:t>
      </w:r>
      <w:r>
        <w:rPr>
          <w:rFonts w:hint="eastAsia" w:ascii="宋体" w:hAnsi="宋体" w:eastAsia="宋体" w:cs="宋体"/>
          <w:color w:val="000000" w:themeColor="text1"/>
          <w:sz w:val="24"/>
          <w:highlight w:val="none"/>
          <w:u w:val="single"/>
          <w:lang w:val="en-US" w:eastAsia="zh-CN"/>
          <w14:textFill>
            <w14:solidFill>
              <w14:schemeClr w14:val="tx1"/>
            </w14:solidFill>
          </w14:textFill>
        </w:rPr>
        <w:t>2021年2月23日至2021年2月24日上午9:00-11：00，下午1:30-3:00。</w:t>
      </w:r>
      <w:r>
        <w:rPr>
          <w:rFonts w:hint="eastAsia" w:ascii="宋体" w:hAnsi="宋体" w:eastAsia="宋体" w:cs="宋体"/>
          <w:color w:val="000000" w:themeColor="text1"/>
          <w:sz w:val="24"/>
          <w:highlight w:val="none"/>
          <w:u w:val="single"/>
          <w:lang w:eastAsia="zh-CN"/>
          <w14:textFill>
            <w14:solidFill>
              <w14:schemeClr w14:val="tx1"/>
            </w14:solidFill>
          </w14:textFill>
        </w:rPr>
        <w:t>联系人</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史老师，电话</w:t>
      </w:r>
      <w:r>
        <w:rPr>
          <w:rFonts w:hint="eastAsia" w:ascii="宋体" w:hAnsi="宋体" w:eastAsia="宋体" w:cs="宋体"/>
          <w:color w:val="000000" w:themeColor="text1"/>
          <w:sz w:val="24"/>
          <w:highlight w:val="none"/>
          <w:u w:val="single"/>
          <w:lang w:val="en-US" w:eastAsia="zh-CN"/>
          <w14:textFill>
            <w14:solidFill>
              <w14:schemeClr w14:val="tx1"/>
            </w14:solidFill>
          </w14:textFill>
        </w:rPr>
        <w:t>:010-64888477</w:t>
      </w:r>
      <w:r>
        <w:rPr>
          <w:rFonts w:hint="eastAsia" w:ascii="宋体" w:hAnsi="宋体" w:eastAsia="宋体" w:cs="宋体"/>
          <w:color w:val="000000" w:themeColor="text1"/>
          <w:sz w:val="24"/>
          <w:highlight w:val="none"/>
          <w:u w:val="single"/>
          <w14:textFill>
            <w14:solidFill>
              <w14:schemeClr w14:val="tx1"/>
            </w14:solidFill>
          </w14:textFill>
        </w:rPr>
        <w:t>。</w:t>
      </w:r>
    </w:p>
    <w:p>
      <w:pPr>
        <w:pStyle w:val="2"/>
        <w:rPr>
          <w:rFonts w:hint="default" w:eastAsia="宋体"/>
          <w:highlight w:val="none"/>
          <w:lang w:val="en-US" w:eastAsia="zh-CN"/>
        </w:rPr>
      </w:pPr>
      <w:r>
        <w:rPr>
          <w:rFonts w:hint="eastAsia" w:ascii="宋体" w:hAnsi="宋体" w:eastAsia="宋体" w:cs="宋体"/>
          <w:color w:val="000000" w:themeColor="text1"/>
          <w:sz w:val="24"/>
          <w:highlight w:val="none"/>
          <w:u w:val="single"/>
          <w:lang w:val="en-US" w:eastAsia="zh-CN"/>
          <w14:textFill>
            <w14:solidFill>
              <w14:schemeClr w14:val="tx1"/>
            </w14:solidFill>
          </w14:textFill>
        </w:rPr>
        <w:t>3.4 工期：签订合同起30天</w:t>
      </w:r>
    </w:p>
    <w:p>
      <w:pPr>
        <w:spacing w:line="360" w:lineRule="auto"/>
        <w:rPr>
          <w:sz w:val="24"/>
          <w:highlight w:val="none"/>
        </w:rPr>
      </w:pPr>
      <w:r>
        <w:rPr>
          <w:rFonts w:hint="eastAsia"/>
          <w:sz w:val="24"/>
          <w:highlight w:val="none"/>
        </w:rPr>
        <w:t>　　（二）投标单位资格条件</w:t>
      </w:r>
    </w:p>
    <w:p>
      <w:pPr>
        <w:spacing w:line="360" w:lineRule="auto"/>
        <w:rPr>
          <w:sz w:val="24"/>
          <w:highlight w:val="none"/>
        </w:rPr>
      </w:pPr>
      <w:r>
        <w:rPr>
          <w:rFonts w:hint="eastAsia"/>
          <w:sz w:val="24"/>
          <w:highlight w:val="none"/>
        </w:rPr>
        <w:t>　　1、参加的施工单位必须具有独立法人资格和相应的施工资质。</w:t>
      </w:r>
    </w:p>
    <w:p>
      <w:pPr>
        <w:spacing w:line="360" w:lineRule="auto"/>
        <w:rPr>
          <w:sz w:val="24"/>
        </w:rPr>
      </w:pPr>
      <w:r>
        <w:rPr>
          <w:rFonts w:hint="eastAsia"/>
          <w:sz w:val="24"/>
        </w:rPr>
        <w:t>　　2、为具有被授予合同的资格，投标单位应提供令招标单位满意的资格文件，以证明其符合投标条件和具有履行合同的能力。</w:t>
      </w:r>
    </w:p>
    <w:p>
      <w:pPr>
        <w:spacing w:line="360" w:lineRule="auto"/>
        <w:jc w:val="center"/>
        <w:rPr>
          <w:sz w:val="24"/>
        </w:rPr>
      </w:pPr>
      <w:bookmarkStart w:id="1" w:name="_Toc40037951"/>
      <w:r>
        <w:rPr>
          <w:rStyle w:val="17"/>
          <w:rFonts w:hint="eastAsia"/>
        </w:rPr>
        <w:t>二、投标报价</w:t>
      </w:r>
      <w:bookmarkEnd w:id="1"/>
    </w:p>
    <w:p>
      <w:pPr>
        <w:spacing w:line="360" w:lineRule="auto"/>
        <w:rPr>
          <w:sz w:val="24"/>
        </w:rPr>
      </w:pPr>
      <w:r>
        <w:rPr>
          <w:rFonts w:hint="eastAsia"/>
          <w:sz w:val="24"/>
        </w:rPr>
        <w:t>　　1、投标报价应是招标文件所确定的招标范围内的全部工作内容的价格体现。其应包括施工设备、劳动管理、材料、安装、维护、利润、税金及政策性文件规定等</w:t>
      </w:r>
      <w:r>
        <w:rPr>
          <w:rFonts w:hint="eastAsia"/>
          <w:sz w:val="24"/>
          <w:highlight w:val="red"/>
          <w:lang w:eastAsia="zh-CN"/>
        </w:rPr>
        <w:t>一切</w:t>
      </w:r>
      <w:r>
        <w:rPr>
          <w:rFonts w:hint="eastAsia"/>
          <w:sz w:val="24"/>
        </w:rPr>
        <w:t>费用。</w:t>
      </w:r>
      <w:bookmarkStart w:id="2" w:name="_GoBack"/>
      <w:bookmarkEnd w:id="2"/>
    </w:p>
    <w:p>
      <w:pPr>
        <w:spacing w:line="360" w:lineRule="auto"/>
        <w:ind w:firstLine="480"/>
        <w:rPr>
          <w:sz w:val="24"/>
        </w:rPr>
      </w:pPr>
      <w:r>
        <w:rPr>
          <w:rFonts w:hint="eastAsia"/>
          <w:sz w:val="24"/>
        </w:rPr>
        <w:t>2、投标报价方式：本工程采用</w:t>
      </w:r>
      <w:r>
        <w:rPr>
          <w:rFonts w:hint="eastAsia"/>
          <w:sz w:val="24"/>
          <w:highlight w:val="red"/>
        </w:rPr>
        <w:t>固定</w:t>
      </w:r>
      <w:r>
        <w:rPr>
          <w:rFonts w:hint="eastAsia"/>
          <w:sz w:val="24"/>
          <w:highlight w:val="red"/>
          <w:lang w:eastAsia="zh-CN"/>
        </w:rPr>
        <w:t>总价报价</w:t>
      </w:r>
      <w:r>
        <w:rPr>
          <w:rFonts w:hint="eastAsia"/>
          <w:sz w:val="24"/>
        </w:rPr>
        <w:t>。投标单位应充分考虑施工期间各类</w:t>
      </w:r>
      <w:r>
        <w:rPr>
          <w:rFonts w:hint="eastAsia"/>
          <w:sz w:val="24"/>
          <w:highlight w:val="red"/>
          <w:lang w:eastAsia="zh-CN"/>
        </w:rPr>
        <w:t>建筑</w:t>
      </w:r>
      <w:r>
        <w:rPr>
          <w:rFonts w:hint="eastAsia"/>
          <w:sz w:val="24"/>
        </w:rPr>
        <w:t>的市场风险和国家政策性调整确定风险系数计入总报表。今后不作调整，招标单位要求变动的内容除外。</w:t>
      </w:r>
      <w:r>
        <w:rPr>
          <w:sz w:val="24"/>
        </w:rPr>
        <w:t xml:space="preserve"> </w:t>
      </w:r>
    </w:p>
    <w:p>
      <w:pPr>
        <w:rPr>
          <w:rFonts w:hint="eastAsia"/>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y="1"/>
      <w:rPr>
        <w:rStyle w:val="15"/>
      </w:rPr>
    </w:pP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Style w:val="15"/>
      </w:rPr>
      <w:t>28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中科院生物物理研究所招标文件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FF5A31"/>
    <w:rsid w:val="0007496E"/>
    <w:rsid w:val="000E0BD3"/>
    <w:rsid w:val="00115D29"/>
    <w:rsid w:val="00192B80"/>
    <w:rsid w:val="00211A86"/>
    <w:rsid w:val="00277B1A"/>
    <w:rsid w:val="00282494"/>
    <w:rsid w:val="00417D7E"/>
    <w:rsid w:val="004A7704"/>
    <w:rsid w:val="005426B8"/>
    <w:rsid w:val="00590396"/>
    <w:rsid w:val="005F3A7F"/>
    <w:rsid w:val="006A4669"/>
    <w:rsid w:val="006D038F"/>
    <w:rsid w:val="006F7346"/>
    <w:rsid w:val="00720A29"/>
    <w:rsid w:val="00767CF6"/>
    <w:rsid w:val="00796F2C"/>
    <w:rsid w:val="007A6099"/>
    <w:rsid w:val="007D2A14"/>
    <w:rsid w:val="00855BEB"/>
    <w:rsid w:val="008719BE"/>
    <w:rsid w:val="008811B2"/>
    <w:rsid w:val="00883D1D"/>
    <w:rsid w:val="00A10AFE"/>
    <w:rsid w:val="00A81AA9"/>
    <w:rsid w:val="00AF25A2"/>
    <w:rsid w:val="00B11A7C"/>
    <w:rsid w:val="00B20EF2"/>
    <w:rsid w:val="00BD6209"/>
    <w:rsid w:val="00C27DB4"/>
    <w:rsid w:val="00C7298E"/>
    <w:rsid w:val="00C73D14"/>
    <w:rsid w:val="00CA122F"/>
    <w:rsid w:val="00D66F53"/>
    <w:rsid w:val="00D67229"/>
    <w:rsid w:val="00DF0A64"/>
    <w:rsid w:val="00EA61D8"/>
    <w:rsid w:val="00ED6125"/>
    <w:rsid w:val="00F211ED"/>
    <w:rsid w:val="00F31687"/>
    <w:rsid w:val="00F51F25"/>
    <w:rsid w:val="00F56D1D"/>
    <w:rsid w:val="00F92D5E"/>
    <w:rsid w:val="00FA64DF"/>
    <w:rsid w:val="00FF1F6D"/>
    <w:rsid w:val="03E6573B"/>
    <w:rsid w:val="042B634A"/>
    <w:rsid w:val="063E7B95"/>
    <w:rsid w:val="0B78178F"/>
    <w:rsid w:val="0CCB5333"/>
    <w:rsid w:val="0E350E73"/>
    <w:rsid w:val="12934252"/>
    <w:rsid w:val="14271ACE"/>
    <w:rsid w:val="1AED3D34"/>
    <w:rsid w:val="1DCB0AD9"/>
    <w:rsid w:val="1E272873"/>
    <w:rsid w:val="20FF5A31"/>
    <w:rsid w:val="23554C93"/>
    <w:rsid w:val="30863A79"/>
    <w:rsid w:val="30A607D6"/>
    <w:rsid w:val="315431FE"/>
    <w:rsid w:val="3DF95ACD"/>
    <w:rsid w:val="484258CD"/>
    <w:rsid w:val="4905345C"/>
    <w:rsid w:val="4B913F62"/>
    <w:rsid w:val="4F241FCC"/>
    <w:rsid w:val="5517248A"/>
    <w:rsid w:val="600D2214"/>
    <w:rsid w:val="6563368D"/>
    <w:rsid w:val="67AD5E60"/>
    <w:rsid w:val="6A8837F7"/>
    <w:rsid w:val="6D8B6538"/>
    <w:rsid w:val="7C472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7"/>
    <w:qFormat/>
    <w:uiPriority w:val="0"/>
    <w:pPr>
      <w:keepNext/>
      <w:keepLines/>
      <w:spacing w:line="576" w:lineRule="auto"/>
      <w:jc w:val="center"/>
      <w:outlineLvl w:val="0"/>
    </w:pPr>
    <w:rPr>
      <w:rFonts w:eastAsia="仿宋"/>
      <w:b/>
      <w:kern w:val="44"/>
      <w:sz w:val="30"/>
    </w:rPr>
  </w:style>
  <w:style w:type="paragraph" w:styleId="5">
    <w:name w:val="heading 2"/>
    <w:basedOn w:val="1"/>
    <w:next w:val="1"/>
    <w:link w:val="18"/>
    <w:unhideWhenUsed/>
    <w:qFormat/>
    <w:uiPriority w:val="0"/>
    <w:pPr>
      <w:keepNext/>
      <w:keepLines/>
      <w:spacing w:line="413" w:lineRule="auto"/>
      <w:jc w:val="left"/>
      <w:outlineLvl w:val="1"/>
    </w:pPr>
    <w:rPr>
      <w:rFonts w:ascii="Arial" w:hAnsi="Arial" w:eastAsia="新宋体"/>
      <w:b/>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autoSpaceDE w:val="0"/>
      <w:autoSpaceDN w:val="0"/>
      <w:adjustRightInd w:val="0"/>
      <w:ind w:firstLine="420"/>
      <w:jc w:val="left"/>
      <w:textAlignment w:val="baseline"/>
    </w:pPr>
    <w:rPr>
      <w:szCs w:val="20"/>
    </w:rPr>
  </w:style>
  <w:style w:type="paragraph" w:styleId="3">
    <w:name w:val="Body Text"/>
    <w:basedOn w:val="1"/>
    <w:qFormat/>
    <w:uiPriority w:val="0"/>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0"/>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qFormat/>
    <w:uiPriority w:val="99"/>
    <w:rPr>
      <w:rFonts w:cs="Times New Roman"/>
    </w:rPr>
  </w:style>
  <w:style w:type="character" w:styleId="16">
    <w:name w:val="Hyperlink"/>
    <w:basedOn w:val="13"/>
    <w:qFormat/>
    <w:uiPriority w:val="99"/>
    <w:rPr>
      <w:color w:val="0000FF"/>
      <w:u w:val="single"/>
    </w:rPr>
  </w:style>
  <w:style w:type="character" w:customStyle="1" w:styleId="17">
    <w:name w:val="标题 1 字符"/>
    <w:link w:val="4"/>
    <w:qFormat/>
    <w:uiPriority w:val="0"/>
    <w:rPr>
      <w:rFonts w:eastAsia="仿宋" w:asciiTheme="minorHAnsi" w:hAnsiTheme="minorHAnsi"/>
      <w:b/>
      <w:kern w:val="44"/>
      <w:sz w:val="30"/>
    </w:rPr>
  </w:style>
  <w:style w:type="character" w:customStyle="1" w:styleId="18">
    <w:name w:val="标题 2 字符"/>
    <w:link w:val="5"/>
    <w:qFormat/>
    <w:uiPriority w:val="0"/>
    <w:rPr>
      <w:rFonts w:ascii="Arial" w:hAnsi="Arial" w:eastAsia="新宋体"/>
      <w:b/>
      <w:sz w:val="24"/>
    </w:rPr>
  </w:style>
  <w:style w:type="character" w:customStyle="1" w:styleId="19">
    <w:name w:val="页眉 字符"/>
    <w:basedOn w:val="13"/>
    <w:link w:val="7"/>
    <w:qFormat/>
    <w:uiPriority w:val="99"/>
    <w:rPr>
      <w:rFonts w:asciiTheme="minorHAnsi" w:hAnsiTheme="minorHAnsi" w:eastAsiaTheme="minorEastAsia" w:cstheme="minorBidi"/>
      <w:kern w:val="2"/>
      <w:sz w:val="18"/>
      <w:szCs w:val="18"/>
    </w:rPr>
  </w:style>
  <w:style w:type="character" w:customStyle="1" w:styleId="20">
    <w:name w:val="页脚 字符"/>
    <w:basedOn w:val="13"/>
    <w:link w:val="6"/>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139</Words>
  <Characters>793</Characters>
  <Lines>6</Lines>
  <Paragraphs>1</Paragraphs>
  <TotalTime>5</TotalTime>
  <ScaleCrop>false</ScaleCrop>
  <LinksUpToDate>false</LinksUpToDate>
  <CharactersWithSpaces>931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2021-02-02T02:25:00Z</dcterms:created>
  <dc:creator>WPS_1528777762</dc:creator>
  <cp:lastModifiedBy>张恪</cp:lastModifiedBy>
  <dcterms:modified xsi:type="dcterms:W3CDTF">2021-02-08T01:23:22Z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